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81" w:rsidRDefault="00EE4B81" w:rsidP="00EE4B81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FF0000"/>
          <w:sz w:val="38"/>
          <w:szCs w:val="36"/>
          <w:u w:val="single"/>
        </w:rPr>
      </w:pPr>
      <w:r>
        <w:rPr>
          <w:rFonts w:ascii="Arial,Bold" w:eastAsia="Calibri" w:hAnsi="Arial,Bold" w:cs="Arial,Bold"/>
          <w:b/>
          <w:bCs/>
          <w:color w:val="FF0000"/>
          <w:sz w:val="38"/>
          <w:szCs w:val="36"/>
          <w:u w:val="single"/>
        </w:rPr>
        <w:t>Africký mor ošípaných (AMO)</w:t>
      </w: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FF0000"/>
          <w:sz w:val="34"/>
          <w:szCs w:val="36"/>
        </w:rPr>
      </w:pPr>
      <w:r>
        <w:rPr>
          <w:rFonts w:ascii="Arial,Bold" w:eastAsia="Calibri" w:hAnsi="Arial,Bold" w:cs="Arial,Bold"/>
          <w:b/>
          <w:bCs/>
          <w:color w:val="FF0000"/>
          <w:sz w:val="34"/>
          <w:szCs w:val="36"/>
        </w:rPr>
        <w:t xml:space="preserve">u domácich ošípaných a diviakov </w:t>
      </w: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>Štátna veterinárna a potravinová správa Slovenskej republiky Bratislava</w:t>
      </w:r>
    </w:p>
    <w:p w:rsidR="00EE4B81" w:rsidRDefault="00EE4B81" w:rsidP="00EE4B81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sz w:val="26"/>
          <w:szCs w:val="28"/>
        </w:rPr>
      </w:pPr>
    </w:p>
    <w:p w:rsidR="00EE4B81" w:rsidRDefault="00EE4B81" w:rsidP="00EE4B8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akútna, vysoko nákazlivá choroba domácich ošípaných a diviakov</w:t>
      </w:r>
    </w:p>
    <w:p w:rsidR="00EE4B81" w:rsidRDefault="00EE4B81" w:rsidP="00EE4B8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prenosný priamym kontaktom s chorým alebo uhynutým zvieraťom, výkalmi a sekrétmi infikovaného zvieraťa, prípadne konzumáciou tepelne neopracovaných produktov z infikovaných zvierat</w:t>
      </w:r>
    </w:p>
    <w:p w:rsidR="00EE4B81" w:rsidRDefault="00EE4B81" w:rsidP="00EE4B8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prejavuje sa vysokou horúčkou (až 42°C), ktorá môže trvať až niekoľko dní, apatiou, </w:t>
      </w:r>
      <w:proofErr w:type="spellStart"/>
      <w:r>
        <w:rPr>
          <w:rFonts w:ascii="Arial" w:hAnsi="Arial" w:cs="Arial"/>
          <w:szCs w:val="24"/>
        </w:rPr>
        <w:t>krvácaninami</w:t>
      </w:r>
      <w:proofErr w:type="spellEnd"/>
      <w:r>
        <w:rPr>
          <w:rFonts w:ascii="Arial" w:hAnsi="Arial" w:cs="Arial"/>
          <w:szCs w:val="24"/>
        </w:rPr>
        <w:t xml:space="preserve"> v podkoží, na miazgových uzlinách, vnútorných orgánoch a zväčšenou slezinou</w:t>
      </w:r>
    </w:p>
    <w:p w:rsidR="00EE4B81" w:rsidRDefault="00EE4B81" w:rsidP="00EE4B8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 gravidných prasníc sa prejavuje potratmi</w:t>
      </w:r>
    </w:p>
    <w:p w:rsidR="00EE4B81" w:rsidRDefault="00EE4B81" w:rsidP="00EE4B8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charakteristický vysokou, takmer 100% úmrtnosťou zvierat</w:t>
      </w:r>
    </w:p>
    <w:p w:rsidR="00EE4B81" w:rsidRDefault="00EE4B81" w:rsidP="00EE4B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ide o neliečiteľnú chorobu, ktorá ale nie je prenosná na ľudí a iné druhy zvierat</w:t>
      </w:r>
      <w:r>
        <w:rPr>
          <w:rFonts w:ascii="Arial" w:hAnsi="Arial" w:cs="Arial"/>
          <w:b/>
        </w:rPr>
        <w:t xml:space="preserve">              </w:t>
      </w:r>
    </w:p>
    <w:p w:rsidR="00EE4B81" w:rsidRDefault="00EE4B81" w:rsidP="00EE4B81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171717" w:themeColor="background2" w:themeShade="1A"/>
          <w:sz w:val="28"/>
        </w:rPr>
      </w:pP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171717" w:themeColor="background2" w:themeShade="1A"/>
          <w:sz w:val="28"/>
          <w:u w:val="single"/>
        </w:rPr>
      </w:pPr>
      <w:r>
        <w:rPr>
          <w:rFonts w:ascii="Arial,Bold" w:eastAsia="Calibri" w:hAnsi="Arial,Bold" w:cs="Arial,Bold"/>
          <w:b/>
          <w:bCs/>
          <w:color w:val="171717" w:themeColor="background2" w:themeShade="1A"/>
          <w:sz w:val="28"/>
          <w:u w:val="single"/>
        </w:rPr>
        <w:t>Chovy ošípaných – prevencia</w:t>
      </w: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EE4B81" w:rsidRDefault="00EE4B81" w:rsidP="00EE4B81">
      <w:pPr>
        <w:pStyle w:val="Odsekzoznamu"/>
        <w:numPr>
          <w:ilvl w:val="1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left="1190" w:right="-142" w:hanging="113"/>
        <w:jc w:val="both"/>
        <w:rPr>
          <w:rFonts w:ascii="Arial" w:hAnsi="Arial" w:cs="Arial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724025" cy="1390650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dodržiavať v chovoch </w:t>
      </w:r>
      <w:r>
        <w:rPr>
          <w:rFonts w:ascii="Arial" w:hAnsi="Arial" w:cs="Arial"/>
          <w:b/>
          <w:szCs w:val="24"/>
        </w:rPr>
        <w:t>zásady biologickej bezpečnosti</w:t>
      </w:r>
      <w:r>
        <w:rPr>
          <w:rFonts w:ascii="Arial" w:hAnsi="Arial" w:cs="Arial"/>
          <w:szCs w:val="24"/>
        </w:rPr>
        <w:t xml:space="preserve"> (dôkladné </w:t>
      </w:r>
    </w:p>
    <w:p w:rsidR="00EE4B81" w:rsidRDefault="00EE4B81" w:rsidP="00EE4B81">
      <w:pPr>
        <w:pStyle w:val="Odsekzoznamu"/>
        <w:tabs>
          <w:tab w:val="left" w:pos="3261"/>
        </w:tabs>
        <w:autoSpaceDE w:val="0"/>
        <w:autoSpaceDN w:val="0"/>
        <w:adjustRightInd w:val="0"/>
        <w:spacing w:after="100" w:afterAutospacing="1"/>
        <w:ind w:left="1190"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oplotenie farmy, dezinfekčné brody, evidencia a kontrola pohybu </w:t>
      </w:r>
    </w:p>
    <w:p w:rsidR="00EE4B81" w:rsidRDefault="00EE4B81" w:rsidP="00EE4B81">
      <w:pPr>
        <w:pStyle w:val="Odsekzoznamu"/>
        <w:tabs>
          <w:tab w:val="left" w:pos="3261"/>
        </w:tabs>
        <w:autoSpaceDE w:val="0"/>
        <w:autoSpaceDN w:val="0"/>
        <w:adjustRightInd w:val="0"/>
        <w:spacing w:after="100" w:afterAutospacing="1"/>
        <w:ind w:left="1190"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dopravných prostriedkov a osôb, prezliekanie zamestnancov a</w:t>
      </w:r>
    </w:p>
    <w:p w:rsidR="00EE4B81" w:rsidRDefault="00EE4B81" w:rsidP="00EE4B81">
      <w:pPr>
        <w:pStyle w:val="Odsekzoznamu"/>
        <w:tabs>
          <w:tab w:val="left" w:pos="3261"/>
        </w:tabs>
        <w:autoSpaceDE w:val="0"/>
        <w:autoSpaceDN w:val="0"/>
        <w:adjustRightInd w:val="0"/>
        <w:spacing w:after="100" w:afterAutospacing="1"/>
        <w:ind w:left="1190"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návštevníkov farmy, dodržiavať čierno-biely systém)</w:t>
      </w:r>
    </w:p>
    <w:p w:rsidR="00EE4B81" w:rsidRDefault="00EE4B81" w:rsidP="00EE4B81">
      <w:pPr>
        <w:pStyle w:val="Odsekzoznamu"/>
        <w:numPr>
          <w:ilvl w:val="1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zamedziť vniknutiu diviakov</w:t>
      </w:r>
      <w:r>
        <w:rPr>
          <w:rFonts w:ascii="Arial" w:hAnsi="Arial" w:cs="Arial"/>
          <w:szCs w:val="24"/>
        </w:rPr>
        <w:t xml:space="preserve"> do areálu farmy, prípadne ich </w:t>
      </w:r>
    </w:p>
    <w:p w:rsidR="00EE4B81" w:rsidRDefault="00EE4B81" w:rsidP="00EE4B81">
      <w:pPr>
        <w:pStyle w:val="Odsekzoznamu"/>
        <w:tabs>
          <w:tab w:val="left" w:pos="3261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szCs w:val="24"/>
        </w:rPr>
        <w:t>kontaktu s krmivom a stelivom</w:t>
      </w:r>
    </w:p>
    <w:p w:rsidR="00EE4B81" w:rsidRDefault="00EE4B81" w:rsidP="00EE4B81">
      <w:pPr>
        <w:pStyle w:val="Odsekzoznamu"/>
        <w:numPr>
          <w:ilvl w:val="0"/>
          <w:numId w:val="3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rešpektovať </w:t>
      </w:r>
      <w:r>
        <w:rPr>
          <w:rFonts w:ascii="Arial" w:hAnsi="Arial" w:cs="Arial"/>
          <w:b/>
          <w:szCs w:val="24"/>
        </w:rPr>
        <w:t>zákaz skrmovania kuchynských odpadov</w:t>
      </w:r>
      <w:r>
        <w:rPr>
          <w:rFonts w:ascii="Arial" w:hAnsi="Arial" w:cs="Arial"/>
          <w:szCs w:val="24"/>
        </w:rPr>
        <w:t xml:space="preserve"> </w:t>
      </w:r>
    </w:p>
    <w:p w:rsidR="00EE4B81" w:rsidRDefault="00EE4B81" w:rsidP="00EE4B81">
      <w:pPr>
        <w:pStyle w:val="Odsekzoznamu"/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a výrobkov z diviačieho  mäsa</w:t>
      </w:r>
    </w:p>
    <w:p w:rsidR="00EE4B81" w:rsidRDefault="00EE4B81" w:rsidP="00EE4B81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zákaz skladovať krmivo pre ošípané v dosahu diviakov </w:t>
      </w:r>
    </w:p>
    <w:p w:rsidR="00EE4B81" w:rsidRDefault="00EE4B81" w:rsidP="00EE4B8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09" w:right="-1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zákaz skladovať podstielkovú slamu v dosahu diviakov min. 90 dní pred jej použitím</w:t>
      </w:r>
    </w:p>
    <w:p w:rsidR="00EE4B81" w:rsidRDefault="00EE4B81" w:rsidP="00EE4B8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09" w:right="-1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pravidelné klinické prehliadky zvierat v chove</w:t>
      </w: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171717" w:themeColor="background2" w:themeShade="1A"/>
          <w:sz w:val="28"/>
        </w:rPr>
      </w:pP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171717" w:themeColor="background2" w:themeShade="1A"/>
          <w:sz w:val="28"/>
          <w:u w:val="single"/>
        </w:rPr>
      </w:pPr>
      <w:r>
        <w:rPr>
          <w:rFonts w:ascii="Arial,Bold" w:eastAsia="Calibri" w:hAnsi="Arial,Bold" w:cs="Arial,Bold"/>
          <w:b/>
          <w:bCs/>
          <w:color w:val="171717" w:themeColor="background2" w:themeShade="1A"/>
          <w:sz w:val="28"/>
          <w:u w:val="single"/>
        </w:rPr>
        <w:t>Užívatelia poľovných revírov – prevencia</w:t>
      </w:r>
    </w:p>
    <w:p w:rsidR="00EE4B81" w:rsidRDefault="00EE4B81" w:rsidP="00EE4B81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</w:rPr>
      </w:pPr>
    </w:p>
    <w:p w:rsidR="00EE4B81" w:rsidRDefault="00EE4B81" w:rsidP="00EE4B81">
      <w:pPr>
        <w:pStyle w:val="Odsekzoznamu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47825" cy="1647825"/>
            <wp:effectExtent l="0" t="0" r="9525" b="9525"/>
            <wp:wrapSquare wrapText="bothSides"/>
            <wp:docPr id="1" name="Obrázok 1" descr="Výsledok vyhľadávania obrázkov pre dopyt wild boar sketc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wild boar sketc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odber a zaslanie vzoriek na vyšetrenie od všetkých nájdených </w:t>
      </w:r>
    </w:p>
    <w:p w:rsidR="00EE4B81" w:rsidRDefault="00EE4B81" w:rsidP="00EE4B81">
      <w:pPr>
        <w:pStyle w:val="Odsekzoznamu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>uhynutých diviakov</w:t>
      </w:r>
    </w:p>
    <w:p w:rsidR="00EE4B81" w:rsidRDefault="00EE4B81" w:rsidP="00EE4B81">
      <w:pPr>
        <w:pStyle w:val="Odsekzoznamu"/>
        <w:numPr>
          <w:ilvl w:val="0"/>
          <w:numId w:val="4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neškodné odstránenie </w:t>
      </w:r>
      <w:proofErr w:type="spellStart"/>
      <w:r>
        <w:rPr>
          <w:rFonts w:ascii="Arial" w:hAnsi="Arial" w:cs="Arial"/>
          <w:szCs w:val="24"/>
        </w:rPr>
        <w:t>kadáverov</w:t>
      </w:r>
      <w:proofErr w:type="spellEnd"/>
      <w:r>
        <w:rPr>
          <w:rFonts w:ascii="Arial" w:hAnsi="Arial" w:cs="Arial"/>
          <w:szCs w:val="24"/>
        </w:rPr>
        <w:t xml:space="preserve"> uhynutých diviakov do </w:t>
      </w:r>
      <w:r>
        <w:rPr>
          <w:rFonts w:ascii="Arial" w:hAnsi="Arial" w:cs="Arial"/>
          <w:b/>
          <w:szCs w:val="24"/>
        </w:rPr>
        <w:t xml:space="preserve">kafilérie </w:t>
      </w:r>
    </w:p>
    <w:p w:rsidR="00EE4B81" w:rsidRDefault="00EE4B81" w:rsidP="00EE4B81">
      <w:pPr>
        <w:pStyle w:val="Odsekzoznamu"/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alebo hlbokým zakopaním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(2m)</w:t>
      </w:r>
      <w:r>
        <w:rPr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resp. spálením na mieste </w:t>
      </w:r>
    </w:p>
    <w:p w:rsidR="00EE4B81" w:rsidRDefault="00EE4B81" w:rsidP="00EE4B81">
      <w:pPr>
        <w:pStyle w:val="Odsekzoznamu"/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úhynu  </w:t>
      </w:r>
    </w:p>
    <w:p w:rsidR="00EE4B81" w:rsidRDefault="00EE4B81" w:rsidP="00EE4B81">
      <w:pPr>
        <w:pStyle w:val="Odsekzoznamu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lov a vyšetrenie všetkých </w:t>
      </w:r>
      <w:r>
        <w:rPr>
          <w:rFonts w:ascii="Arial" w:hAnsi="Arial" w:cs="Arial"/>
          <w:b/>
          <w:szCs w:val="24"/>
        </w:rPr>
        <w:t>chorých</w:t>
      </w:r>
      <w:r>
        <w:rPr>
          <w:rFonts w:ascii="Arial" w:hAnsi="Arial" w:cs="Arial"/>
          <w:szCs w:val="24"/>
        </w:rPr>
        <w:t xml:space="preserve"> diviakov</w:t>
      </w:r>
    </w:p>
    <w:p w:rsidR="00EE4B81" w:rsidRDefault="00EE4B81" w:rsidP="00EE4B81">
      <w:pPr>
        <w:pStyle w:val="Odsekzoznamu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dodržiavanie normovaných kmeňových stavov, vekovej a </w:t>
      </w:r>
      <w:proofErr w:type="spellStart"/>
      <w:r>
        <w:rPr>
          <w:rFonts w:ascii="Arial" w:hAnsi="Arial" w:cs="Arial"/>
          <w:color w:val="171717" w:themeColor="background2" w:themeShade="1A"/>
          <w:szCs w:val="24"/>
        </w:rPr>
        <w:t>pohlav</w:t>
      </w:r>
      <w:proofErr w:type="spellEnd"/>
      <w:r>
        <w:rPr>
          <w:rFonts w:ascii="Arial" w:hAnsi="Arial" w:cs="Arial"/>
          <w:color w:val="171717" w:themeColor="background2" w:themeShade="1A"/>
          <w:szCs w:val="24"/>
        </w:rPr>
        <w:t>-</w:t>
      </w:r>
    </w:p>
    <w:p w:rsidR="00EE4B81" w:rsidRDefault="00EE4B81" w:rsidP="00EE4B81">
      <w:pPr>
        <w:pStyle w:val="Odsekzoznamu"/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 xml:space="preserve">     nej štruktúry populácie, lovom všetkých vekových kategórii </w:t>
      </w:r>
    </w:p>
    <w:p w:rsidR="00EE4B81" w:rsidRDefault="00EE4B81" w:rsidP="00EE4B81">
      <w:pPr>
        <w:pStyle w:val="Odsekzoznamu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zákaz prikrmovania diviakov </w:t>
      </w:r>
    </w:p>
    <w:p w:rsidR="00EE4B81" w:rsidRDefault="00EE4B81" w:rsidP="00EE4B81">
      <w:pPr>
        <w:pStyle w:val="Odsekzoznamu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dodržiavanie </w:t>
      </w:r>
      <w:proofErr w:type="spellStart"/>
      <w:r>
        <w:rPr>
          <w:rFonts w:ascii="Arial" w:hAnsi="Arial" w:cs="Arial"/>
          <w:szCs w:val="24"/>
        </w:rPr>
        <w:t>protiepidemických</w:t>
      </w:r>
      <w:proofErr w:type="spellEnd"/>
      <w:r>
        <w:rPr>
          <w:rFonts w:ascii="Arial" w:hAnsi="Arial" w:cs="Arial"/>
          <w:szCs w:val="24"/>
        </w:rPr>
        <w:t xml:space="preserve"> zásad pri manipulácii s telami a </w:t>
      </w:r>
      <w:proofErr w:type="spellStart"/>
      <w:r>
        <w:rPr>
          <w:rFonts w:ascii="Arial" w:hAnsi="Arial" w:cs="Arial"/>
          <w:szCs w:val="24"/>
        </w:rPr>
        <w:t>vývrhmi</w:t>
      </w:r>
      <w:proofErr w:type="spellEnd"/>
      <w:r>
        <w:rPr>
          <w:rFonts w:ascii="Arial" w:hAnsi="Arial" w:cs="Arial"/>
          <w:szCs w:val="24"/>
        </w:rPr>
        <w:t xml:space="preserve"> z ulovených diviakov</w:t>
      </w:r>
    </w:p>
    <w:p w:rsidR="00EE4B81" w:rsidRDefault="00EE4B81" w:rsidP="00EE4B81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odber a zaslanie vzoriek na vyšetrenie diviakov </w:t>
      </w:r>
      <w:r>
        <w:rPr>
          <w:rFonts w:ascii="Arial" w:hAnsi="Arial" w:cs="Arial"/>
          <w:b/>
          <w:szCs w:val="24"/>
        </w:rPr>
        <w:t>podľa inštrukcií RVPS</w:t>
      </w:r>
      <w:r>
        <w:rPr>
          <w:rFonts w:ascii="Arial" w:hAnsi="Arial" w:cs="Arial"/>
        </w:rPr>
        <w:t xml:space="preserve"> </w:t>
      </w:r>
    </w:p>
    <w:p w:rsidR="00EE4B81" w:rsidRDefault="00EE4B81" w:rsidP="00EE4B8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sz w:val="14"/>
        </w:rPr>
      </w:pPr>
    </w:p>
    <w:p w:rsidR="00EE4B81" w:rsidRDefault="00EE4B81" w:rsidP="00EE4B8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sz w:val="14"/>
        </w:rPr>
      </w:pPr>
    </w:p>
    <w:p w:rsidR="00EE4B81" w:rsidRDefault="00EE4B81" w:rsidP="00EE4B81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Arial" w:eastAsia="Calibri" w:hAnsi="Arial" w:cs="Arial"/>
        </w:rPr>
        <w:t>Na Slovensku sa AMO doposiaľ nikdy nevyskytol, avšak v súčasnosti sa vyskytuje na Ukrajine, v</w:t>
      </w:r>
      <w:r w:rsidR="007F57E1">
        <w:rPr>
          <w:rFonts w:ascii="Arial" w:eastAsia="Calibri" w:hAnsi="Arial" w:cs="Arial"/>
        </w:rPr>
        <w:t xml:space="preserve"> Maďarsku, v </w:t>
      </w:r>
      <w:bookmarkStart w:id="0" w:name="_GoBack"/>
      <w:bookmarkEnd w:id="0"/>
      <w:r>
        <w:rPr>
          <w:rFonts w:ascii="Arial" w:eastAsia="Calibri" w:hAnsi="Arial" w:cs="Arial"/>
        </w:rPr>
        <w:t>Poľsku, v Rumunsku, v pobaltských krajinách a vo východnej Európe. Najväčším nebezpečenstvom rozšírenia AMO na územie SR predstavuje migrácia infikovaných diviakov z Ukrajiny. Preventívna vakcinácia diviakov a domácich ošípaných nie je možná.</w:t>
      </w:r>
      <w:r>
        <w:rPr>
          <w:rFonts w:ascii="Arial" w:eastAsia="Calibri" w:hAnsi="Arial" w:cs="Arial"/>
          <w:bdr w:val="single" w:sz="4" w:space="0" w:color="auto" w:frame="1"/>
        </w:rPr>
        <w:t xml:space="preserve"> </w:t>
      </w:r>
    </w:p>
    <w:p w:rsidR="00C93E17" w:rsidRDefault="00C93E17"/>
    <w:sectPr w:rsidR="00C93E17" w:rsidSect="00EE4B81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0DB"/>
    <w:multiLevelType w:val="hybridMultilevel"/>
    <w:tmpl w:val="B9301D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8E1"/>
    <w:multiLevelType w:val="hybridMultilevel"/>
    <w:tmpl w:val="7CD43B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66D"/>
    <w:multiLevelType w:val="hybridMultilevel"/>
    <w:tmpl w:val="80C0B7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1"/>
    <w:rsid w:val="007F57E1"/>
    <w:rsid w:val="00C93E17"/>
    <w:rsid w:val="00E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BDEC"/>
  <w15:chartTrackingRefBased/>
  <w15:docId w15:val="{3DE613DB-3EB6-44A6-BED6-94EA669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4B8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B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B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rct=j&amp;q=&amp;esrc=s&amp;source=images&amp;cd=&amp;cad=rja&amp;uact=8&amp;ved=0ahUKEwj1o_-455bQAhWDcBoKHUgjAPsQjRwIBw&amp;url=https://www.pinterest.com/pin/369435975661432626/&amp;bvm=bv.137904068,d.d2s&amp;psig=AFQjCNHSv0n7KhTmf4rfQiT3-0tqo0C6cg&amp;ust=147861369116278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2018-05-23T11:28:00Z</cp:lastPrinted>
  <dcterms:created xsi:type="dcterms:W3CDTF">2018-01-16T13:28:00Z</dcterms:created>
  <dcterms:modified xsi:type="dcterms:W3CDTF">2018-05-23T11:28:00Z</dcterms:modified>
</cp:coreProperties>
</file>